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3D6" w14:textId="060B7FE2" w:rsidR="00E42918" w:rsidRPr="00F0099B" w:rsidRDefault="00FD340D" w:rsidP="00F0099B">
      <w:pPr>
        <w:pStyle w:val="Tytu"/>
        <w:spacing w:line="360" w:lineRule="auto"/>
        <w:rPr>
          <w:rFonts w:ascii="Verdana" w:eastAsia="Times New Roman" w:hAnsi="Verdana" w:cs="Times New Roman"/>
          <w:b/>
          <w:bCs/>
          <w:sz w:val="22"/>
          <w:szCs w:val="22"/>
          <w:shd w:val="clear" w:color="auto" w:fill="FFFFFF"/>
        </w:rPr>
      </w:pPr>
      <w:r w:rsidRPr="00F0099B">
        <w:rPr>
          <w:rFonts w:ascii="Verdana" w:hAnsi="Verdana"/>
          <w:b/>
          <w:bCs/>
          <w:shd w:val="clear" w:color="auto" w:fill="FFFFFF"/>
        </w:rPr>
        <w:t>Informowanie</w:t>
      </w:r>
      <w:r w:rsidR="00343AC8" w:rsidRPr="00F0099B">
        <w:rPr>
          <w:rFonts w:ascii="Verdana" w:hAnsi="Verdana"/>
          <w:b/>
          <w:bCs/>
          <w:shd w:val="clear" w:color="auto" w:fill="FFFFFF"/>
        </w:rPr>
        <w:t xml:space="preserve"> </w:t>
      </w:r>
      <w:r w:rsidRPr="00F0099B">
        <w:rPr>
          <w:rFonts w:ascii="Verdana" w:hAnsi="Verdana"/>
          <w:b/>
          <w:bCs/>
          <w:shd w:val="clear" w:color="auto" w:fill="FFFFFF"/>
        </w:rPr>
        <w:t>o dostępności</w:t>
      </w:r>
    </w:p>
    <w:p w14:paraId="18EFEB5A" w14:textId="53CA582D" w:rsidR="00E42918" w:rsidRPr="00F0099B" w:rsidRDefault="00FD340D" w:rsidP="00F0099B">
      <w:pPr>
        <w:pStyle w:val="Podtytu"/>
        <w:spacing w:after="600" w:line="36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F0099B">
        <w:rPr>
          <w:rFonts w:ascii="Verdana" w:hAnsi="Verdana"/>
          <w:sz w:val="28"/>
          <w:szCs w:val="28"/>
          <w:shd w:val="clear" w:color="auto" w:fill="FFFFFF"/>
        </w:rPr>
        <w:t>Analiza stron www i BI</w:t>
      </w:r>
      <w:r w:rsidR="00343AC8" w:rsidRPr="00F0099B">
        <w:rPr>
          <w:rFonts w:ascii="Verdana" w:hAnsi="Verdana"/>
          <w:sz w:val="28"/>
          <w:szCs w:val="28"/>
          <w:shd w:val="clear" w:color="auto" w:fill="FFFFFF"/>
        </w:rPr>
        <w:t xml:space="preserve">P </w:t>
      </w:r>
      <w:r w:rsidRPr="00F0099B">
        <w:rPr>
          <w:rFonts w:ascii="Verdana" w:hAnsi="Verdana"/>
          <w:sz w:val="28"/>
          <w:szCs w:val="28"/>
          <w:shd w:val="clear" w:color="auto" w:fill="FFFFFF"/>
        </w:rPr>
        <w:t>małopolskich instytucji kultury</w:t>
      </w:r>
    </w:p>
    <w:p w14:paraId="60CEDA11" w14:textId="2F339792" w:rsidR="00E42918" w:rsidRPr="00842A8C" w:rsidRDefault="00FD340D" w:rsidP="00F0099B">
      <w:pPr>
        <w:pStyle w:val="Domylne"/>
        <w:spacing w:before="0" w:line="360" w:lineRule="auto"/>
        <w:rPr>
          <w:rFonts w:ascii="Verdana" w:eastAsia="Times New Roman" w:hAnsi="Verdana" w:cs="Times New Roman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Przebadaliśmy 376 publicznych instytucji kultury</w:t>
      </w:r>
      <w:r w:rsid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(</w:t>
      </w:r>
      <w:r w:rsidR="00842A8C" w:rsidRPr="00842A8C">
        <w:rPr>
          <w:rStyle w:val="Odwoaniedokomentarza"/>
          <w:rFonts w:ascii="Verdana" w:hAnsi="Verdana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842A8C">
        <w:rPr>
          <w:rStyle w:val="Odwoaniedokomentarza"/>
          <w:rFonts w:ascii="Verdana" w:hAnsi="Verdana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842A8C"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an na połowę kwietnia 2021 r</w:t>
      </w:r>
      <w:r w:rsid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)</w:t>
      </w:r>
    </w:p>
    <w:p w14:paraId="7A90B83B" w14:textId="77777777" w:rsidR="00E42918" w:rsidRPr="00842A8C" w:rsidRDefault="00FD340D" w:rsidP="00F0099B">
      <w:pPr>
        <w:pStyle w:val="Domylne"/>
        <w:numPr>
          <w:ilvl w:val="0"/>
          <w:numId w:val="2"/>
        </w:numPr>
        <w:spacing w:before="0" w:line="360" w:lineRule="auto"/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28% (105 instytucji) nie wskazało konkretnej osoby będącej koordynatorem dostępności </w:t>
      </w:r>
    </w:p>
    <w:p w14:paraId="1CF8AB84" w14:textId="77777777" w:rsidR="00E42918" w:rsidRPr="00842A8C" w:rsidRDefault="00FD340D" w:rsidP="00F0099B">
      <w:pPr>
        <w:pStyle w:val="Domylne"/>
        <w:numPr>
          <w:ilvl w:val="0"/>
          <w:numId w:val="2"/>
        </w:numPr>
        <w:spacing w:before="0" w:line="360" w:lineRule="auto"/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23% (86 instytucji) nie opublikowało deklaracji dostępności </w:t>
      </w:r>
    </w:p>
    <w:p w14:paraId="0AD8B901" w14:textId="77777777" w:rsidR="00E42918" w:rsidRPr="00842A8C" w:rsidRDefault="00FD340D" w:rsidP="00F0099B">
      <w:pPr>
        <w:pStyle w:val="Domylne"/>
        <w:numPr>
          <w:ilvl w:val="0"/>
          <w:numId w:val="2"/>
        </w:numPr>
        <w:spacing w:before="0" w:line="360" w:lineRule="auto"/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46% (175 instytucji) nie opublikowało raportu o stanie zapewnienia dostępności </w:t>
      </w:r>
    </w:p>
    <w:p w14:paraId="0663E30E" w14:textId="2CBD689D" w:rsidR="00E42918" w:rsidRPr="00842A8C" w:rsidRDefault="00FD340D" w:rsidP="00F0099B">
      <w:pPr>
        <w:pStyle w:val="Domylne"/>
        <w:numPr>
          <w:ilvl w:val="0"/>
          <w:numId w:val="2"/>
        </w:numPr>
        <w:spacing w:before="0" w:line="360" w:lineRule="auto"/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 w:rsidRPr="00842A8C">
        <w:rPr>
          <w:rFonts w:ascii="Verdana" w:hAnsi="Verdana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17% (63 instytucje) nie miało koordynatora, nie opublikowało deklaracji, raportu </w:t>
      </w:r>
    </w:p>
    <w:p w14:paraId="1ED0EDBB" w14:textId="77777777" w:rsidR="00F0099B" w:rsidRDefault="00F0099B">
      <w:pPr>
        <w:rPr>
          <w:rFonts w:ascii="Verdana" w:hAnsi="Arial Unicode MS" w:cs="Arial Unicode MS"/>
          <w:b/>
          <w:bCs/>
          <w:color w:val="000000"/>
          <w:sz w:val="44"/>
          <w:szCs w:val="44"/>
          <w:highlight w:val="lightGray"/>
          <w:lang w:val="pl-PL"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F0099B">
        <w:rPr>
          <w:rFonts w:ascii="Verdana" w:hAnsi="Arial Unicode MS"/>
          <w:b/>
          <w:bCs/>
          <w:sz w:val="44"/>
          <w:szCs w:val="44"/>
          <w:highlight w:val="lightGray"/>
          <w:lang w:val="pl-PL"/>
        </w:rPr>
        <w:br w:type="page"/>
      </w:r>
    </w:p>
    <w:p w14:paraId="44441490" w14:textId="473CA8D1" w:rsidR="00842A8C" w:rsidRPr="00842A8C" w:rsidRDefault="00FD340D" w:rsidP="00842A8C">
      <w:pPr>
        <w:pStyle w:val="Nagwek1"/>
        <w:numPr>
          <w:ilvl w:val="0"/>
          <w:numId w:val="5"/>
        </w:numPr>
        <w:spacing w:after="240"/>
        <w:rPr>
          <w:rFonts w:ascii="Verdana" w:hAnsi="Verdana"/>
          <w:b/>
          <w:bCs/>
          <w:sz w:val="36"/>
          <w:szCs w:val="36"/>
          <w:lang w:val="pl-PL"/>
        </w:rPr>
      </w:pPr>
      <w:r w:rsidRPr="00842A8C">
        <w:rPr>
          <w:rFonts w:ascii="Verdana" w:hAnsi="Verdana"/>
          <w:b/>
          <w:bCs/>
          <w:sz w:val="36"/>
          <w:szCs w:val="36"/>
          <w:lang w:val="pl-PL"/>
        </w:rPr>
        <w:lastRenderedPageBreak/>
        <w:t>Braki na stronach instytucji wg organizatora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42918" w:rsidRPr="00F0099B" w14:paraId="424E149C" w14:textId="77777777" w:rsidTr="00F0099B">
        <w:trPr>
          <w:trHeight w:val="2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94152" w14:textId="77777777" w:rsidR="00E42918" w:rsidRPr="00F0099B" w:rsidRDefault="00E42918" w:rsidP="00F0099B">
            <w:pPr>
              <w:spacing w:line="36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C5B9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koordynatora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295D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deklaracji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C8D9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raportu</w:t>
            </w:r>
          </w:p>
        </w:tc>
      </w:tr>
      <w:tr w:rsidR="00E42918" w:rsidRPr="00F0099B" w14:paraId="5BB8CE94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6E1A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Minister ds. Kultury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B59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30%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02A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10%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6FE7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70%</w:t>
            </w:r>
          </w:p>
        </w:tc>
      </w:tr>
      <w:tr w:rsidR="00E42918" w:rsidRPr="00F0099B" w14:paraId="7A9176D5" w14:textId="77777777" w:rsidTr="00F0099B">
        <w:tblPrEx>
          <w:shd w:val="clear" w:color="auto" w:fill="auto"/>
        </w:tblPrEx>
        <w:trPr>
          <w:trHeight w:val="43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DF8D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Województwo małopolskie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119E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BBB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CCE7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32%</w:t>
            </w:r>
          </w:p>
        </w:tc>
      </w:tr>
      <w:tr w:rsidR="00E42918" w:rsidRPr="00F0099B" w14:paraId="444F55B8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BD12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Powiaty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206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C01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41A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27%</w:t>
            </w:r>
          </w:p>
        </w:tc>
      </w:tr>
      <w:tr w:rsidR="00E42918" w:rsidRPr="00F0099B" w14:paraId="1F5DD70A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5A92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Współprowadzone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6E01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E378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12,50%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5AE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</w:tr>
      <w:tr w:rsidR="00E42918" w:rsidRPr="00F0099B" w14:paraId="6754F6C9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57EC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Gminy miejska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E8E7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BC9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8C9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11%</w:t>
            </w:r>
          </w:p>
        </w:tc>
      </w:tr>
      <w:tr w:rsidR="00E42918" w:rsidRPr="00F0099B" w14:paraId="52B5678C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61E0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Gminy miejsko - wiejska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949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31%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F98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BB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55%</w:t>
            </w:r>
          </w:p>
        </w:tc>
      </w:tr>
      <w:tr w:rsidR="00E42918" w:rsidRPr="00F0099B" w14:paraId="76E1C7FB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59ED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Gminy wiejska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9A7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7D2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F91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54%</w:t>
            </w:r>
          </w:p>
        </w:tc>
      </w:tr>
    </w:tbl>
    <w:p w14:paraId="27C0334B" w14:textId="336EF909" w:rsidR="00F0099B" w:rsidRDefault="00F0099B" w:rsidP="00F0099B">
      <w:pPr>
        <w:pStyle w:val="Tre"/>
        <w:spacing w:line="360" w:lineRule="auto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br w:type="page"/>
      </w:r>
    </w:p>
    <w:p w14:paraId="6EBC5523" w14:textId="2BDE6AA6" w:rsidR="00E42918" w:rsidRPr="00F0099B" w:rsidRDefault="00FD340D" w:rsidP="00842A8C">
      <w:pPr>
        <w:pStyle w:val="Nagwek1"/>
        <w:numPr>
          <w:ilvl w:val="0"/>
          <w:numId w:val="5"/>
        </w:numPr>
        <w:spacing w:after="240"/>
        <w:rPr>
          <w:rFonts w:ascii="Verdana" w:hAnsi="Verdana"/>
          <w:b/>
          <w:bCs/>
          <w:sz w:val="36"/>
          <w:szCs w:val="36"/>
          <w:lang w:val="pl-PL"/>
        </w:rPr>
      </w:pPr>
      <w:r w:rsidRPr="00F0099B">
        <w:rPr>
          <w:rFonts w:ascii="Verdana" w:hAnsi="Verdana"/>
          <w:b/>
          <w:bCs/>
          <w:sz w:val="36"/>
          <w:szCs w:val="36"/>
          <w:lang w:val="pl-PL"/>
        </w:rPr>
        <w:lastRenderedPageBreak/>
        <w:t>Braki na stronach instytucji wg formy organizacyjnej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42918" w:rsidRPr="00F0099B" w14:paraId="3CDBD7C3" w14:textId="77777777" w:rsidTr="00F0099B">
        <w:trPr>
          <w:trHeight w:val="2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3795" w14:textId="77777777" w:rsidR="00E42918" w:rsidRPr="00F0099B" w:rsidRDefault="00E42918" w:rsidP="00F0099B">
            <w:pPr>
              <w:spacing w:line="36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1111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koordynatora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8D06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deklaracji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DC78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raportu</w:t>
            </w:r>
          </w:p>
        </w:tc>
      </w:tr>
      <w:tr w:rsidR="00E42918" w:rsidRPr="00F0099B" w14:paraId="06576EE4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2A75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Bocheński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A37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28%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173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61%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9748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61%</w:t>
            </w:r>
          </w:p>
        </w:tc>
      </w:tr>
      <w:tr w:rsidR="00E42918" w:rsidRPr="00F0099B" w14:paraId="400F9A32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CA1D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Brzeski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979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36%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92F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36%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B58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54.5%</w:t>
            </w:r>
          </w:p>
        </w:tc>
      </w:tr>
      <w:tr w:rsidR="00E42918" w:rsidRPr="00F0099B" w14:paraId="485AAE1B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3DF1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Chrzanowski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0ED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CC43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04F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60%</w:t>
            </w:r>
          </w:p>
        </w:tc>
      </w:tr>
      <w:tr w:rsidR="00E42918" w:rsidRPr="00F0099B" w14:paraId="7571769F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1FFE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Dąbrowski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397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CDDE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12.5%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A19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37.5%</w:t>
            </w:r>
          </w:p>
        </w:tc>
      </w:tr>
      <w:tr w:rsidR="00E42918" w:rsidRPr="00F0099B" w14:paraId="2E88780C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9E43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Gorlicki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246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D99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483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20%</w:t>
            </w:r>
          </w:p>
        </w:tc>
      </w:tr>
      <w:tr w:rsidR="00E42918" w:rsidRPr="00F0099B" w14:paraId="6EBA316D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320F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Krakowski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512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07A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14%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89D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62%</w:t>
            </w:r>
          </w:p>
        </w:tc>
      </w:tr>
      <w:tr w:rsidR="00E42918" w:rsidRPr="00F0099B" w14:paraId="6517BF8C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116A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Limanowski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023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222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37.5%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AC5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44%</w:t>
            </w:r>
          </w:p>
        </w:tc>
      </w:tr>
      <w:tr w:rsidR="00E42918" w:rsidRPr="00F0099B" w14:paraId="2EAF2692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3E24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Miechowski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D493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0203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17%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1B8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58%</w:t>
            </w:r>
          </w:p>
        </w:tc>
      </w:tr>
      <w:tr w:rsidR="00E42918" w:rsidRPr="00F0099B" w14:paraId="7DC53FB4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73AD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Myślenicki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760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17%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137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11%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06C3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</w:tr>
      <w:tr w:rsidR="00E42918" w:rsidRPr="00F0099B" w14:paraId="22D78883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C691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Nowosądecki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6AF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C3C3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36%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8D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60%</w:t>
            </w:r>
          </w:p>
        </w:tc>
      </w:tr>
      <w:tr w:rsidR="00E42918" w:rsidRPr="00F0099B" w14:paraId="0C3D83DB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CE9A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Nowotarski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B6F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47%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3DCE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EF6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47%</w:t>
            </w:r>
          </w:p>
        </w:tc>
      </w:tr>
      <w:tr w:rsidR="00E42918" w:rsidRPr="00F0099B" w14:paraId="1099E13E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28C6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Olkuski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00F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865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17%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123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42%</w:t>
            </w:r>
          </w:p>
        </w:tc>
      </w:tr>
      <w:tr w:rsidR="00E42918" w:rsidRPr="00F0099B" w14:paraId="3F202293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BFA4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Oświęcimski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F8A8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051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4F2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23.5%</w:t>
            </w:r>
          </w:p>
        </w:tc>
      </w:tr>
      <w:tr w:rsidR="00E42918" w:rsidRPr="00F0099B" w14:paraId="07972928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4834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Proszowicki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D4D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65A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06E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64%</w:t>
            </w:r>
          </w:p>
        </w:tc>
      </w:tr>
      <w:tr w:rsidR="00E42918" w:rsidRPr="00F0099B" w14:paraId="5E0A4032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8C38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Suski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0C0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12.5%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073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12.5%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A17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</w:tr>
      <w:tr w:rsidR="00E42918" w:rsidRPr="00F0099B" w14:paraId="5ECE3C32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9754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Tarnowski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513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45%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E9A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29C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62%</w:t>
            </w:r>
          </w:p>
        </w:tc>
      </w:tr>
      <w:tr w:rsidR="00E42918" w:rsidRPr="00F0099B" w14:paraId="7A3AFAE8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26C7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Tatrzański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673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DC9E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4F4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</w:tr>
      <w:tr w:rsidR="00E42918" w:rsidRPr="00F0099B" w14:paraId="6ADDDF43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8540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Wadowicki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C28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11%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FD4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11%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6747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44%</w:t>
            </w:r>
          </w:p>
        </w:tc>
      </w:tr>
      <w:tr w:rsidR="00E42918" w:rsidRPr="00F0099B" w14:paraId="2D1CEFE1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10B0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Wielicki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19C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0D4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9%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A9B8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73%</w:t>
            </w:r>
          </w:p>
        </w:tc>
      </w:tr>
      <w:tr w:rsidR="00E42918" w:rsidRPr="00F0099B" w14:paraId="453879EC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6447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Kraków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D3F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2183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91C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15%</w:t>
            </w:r>
          </w:p>
        </w:tc>
      </w:tr>
      <w:tr w:rsidR="00E42918" w:rsidRPr="00F0099B" w14:paraId="4A0ABF11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204A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lastRenderedPageBreak/>
              <w:t>Nowy Sącz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6A48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3D3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914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57%</w:t>
            </w:r>
          </w:p>
        </w:tc>
      </w:tr>
      <w:tr w:rsidR="00E42918" w:rsidRPr="00F0099B" w14:paraId="3B8422A4" w14:textId="77777777" w:rsidTr="00F0099B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BA55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Tarnów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097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4271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E0F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</w:tr>
    </w:tbl>
    <w:p w14:paraId="2BBD3E9F" w14:textId="77777777" w:rsidR="00842A8C" w:rsidRDefault="00842A8C">
      <w:pPr>
        <w:rPr>
          <w:rFonts w:ascii="Verdana" w:hAnsi="Verdana" w:cs="Arial Unicode MS"/>
          <w:b/>
          <w:bCs/>
          <w:color w:val="000000"/>
          <w:sz w:val="44"/>
          <w:szCs w:val="44"/>
          <w:lang w:val="pl-PL"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44"/>
          <w:szCs w:val="44"/>
        </w:rPr>
        <w:br w:type="page"/>
      </w:r>
    </w:p>
    <w:p w14:paraId="20A46447" w14:textId="6F6FD3F5" w:rsidR="00E42918" w:rsidRPr="00842A8C" w:rsidRDefault="00FD340D" w:rsidP="00842A8C">
      <w:pPr>
        <w:pStyle w:val="Nagwek1"/>
        <w:numPr>
          <w:ilvl w:val="0"/>
          <w:numId w:val="5"/>
        </w:numPr>
        <w:spacing w:after="240"/>
        <w:rPr>
          <w:rFonts w:ascii="Verdana" w:hAnsi="Verdana"/>
          <w:b/>
          <w:bCs/>
          <w:sz w:val="36"/>
          <w:szCs w:val="36"/>
        </w:rPr>
      </w:pPr>
      <w:r w:rsidRPr="00842A8C">
        <w:rPr>
          <w:rFonts w:ascii="Verdana" w:hAnsi="Verdana"/>
          <w:b/>
          <w:bCs/>
          <w:sz w:val="36"/>
          <w:szCs w:val="36"/>
        </w:rPr>
        <w:lastRenderedPageBreak/>
        <w:t>Braki na stronach instytucji - podział na powiaty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42918" w:rsidRPr="00F0099B" w14:paraId="26765B8A" w14:textId="77777777" w:rsidTr="00842A8C">
        <w:trPr>
          <w:trHeight w:val="29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28A6" w14:textId="77777777" w:rsidR="00E42918" w:rsidRPr="00F0099B" w:rsidRDefault="00E42918" w:rsidP="00F0099B">
            <w:pPr>
              <w:spacing w:line="360" w:lineRule="auto"/>
              <w:rPr>
                <w:rFonts w:ascii="Verdana" w:hAnsi="Verdana"/>
                <w:lang w:val="pl-PL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11D1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koordynatatora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A4A87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deklaracji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0172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Brak raportu</w:t>
            </w:r>
          </w:p>
        </w:tc>
      </w:tr>
      <w:tr w:rsidR="00E42918" w:rsidRPr="00F0099B" w14:paraId="5F8B9A18" w14:textId="77777777" w:rsidTr="00842A8C">
        <w:tblPrEx>
          <w:shd w:val="clear" w:color="auto" w:fill="auto"/>
        </w:tblPrEx>
        <w:trPr>
          <w:trHeight w:val="443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90E8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 xml:space="preserve">Domy/ośrodki/centrum kultury (n = 172)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CA9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34%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6A3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28,50%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560B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51%</w:t>
            </w:r>
          </w:p>
        </w:tc>
      </w:tr>
      <w:tr w:rsidR="00E42918" w:rsidRPr="00F0099B" w14:paraId="680D31BF" w14:textId="77777777" w:rsidTr="00842A8C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6A1B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Biblioteki (n = 132)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4A0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B010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23%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196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48%</w:t>
            </w:r>
          </w:p>
        </w:tc>
      </w:tr>
      <w:tr w:rsidR="00E42918" w:rsidRPr="00F0099B" w14:paraId="588971C1" w14:textId="77777777" w:rsidTr="00842A8C">
        <w:tblPrEx>
          <w:shd w:val="clear" w:color="auto" w:fill="auto"/>
        </w:tblPrEx>
        <w:trPr>
          <w:trHeight w:val="43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6877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Instytucje wystawiennicze (n = 44)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95A4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14%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8A71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14%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1766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41%</w:t>
            </w:r>
          </w:p>
        </w:tc>
      </w:tr>
      <w:tr w:rsidR="00E42918" w:rsidRPr="00F0099B" w14:paraId="330F16E8" w14:textId="77777777" w:rsidTr="00842A8C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E0D1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Teatry (n = 13)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7462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D83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8%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F007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15%</w:t>
            </w:r>
          </w:p>
        </w:tc>
      </w:tr>
      <w:tr w:rsidR="00E42918" w:rsidRPr="00F0099B" w14:paraId="4A2B7A13" w14:textId="77777777" w:rsidTr="00842A8C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9E5E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Inne (n = 11)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5F0E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9%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6CEF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E64A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45%</w:t>
            </w:r>
          </w:p>
        </w:tc>
      </w:tr>
      <w:tr w:rsidR="00E42918" w:rsidRPr="00F0099B" w14:paraId="0C632A3A" w14:textId="77777777" w:rsidTr="00842A8C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18E7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Filharmonia/opera (n = 2)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FBE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50%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D0A5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155C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</w:tr>
      <w:tr w:rsidR="00E42918" w:rsidRPr="00F0099B" w14:paraId="25FA541A" w14:textId="77777777" w:rsidTr="00842A8C">
        <w:tblPrEx>
          <w:shd w:val="clear" w:color="auto" w:fill="auto"/>
        </w:tblPrEx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ACF4" w14:textId="77777777" w:rsidR="00E42918" w:rsidRPr="00F0099B" w:rsidRDefault="00FD340D" w:rsidP="00F0099B">
            <w:pPr>
              <w:pStyle w:val="Styltabeli1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color w:val="004D80"/>
                <w:sz w:val="24"/>
                <w:szCs w:val="24"/>
              </w:rPr>
              <w:t>Orkiestry (n = 2)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DF7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0A69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35BD" w14:textId="77777777" w:rsidR="00E42918" w:rsidRPr="00F0099B" w:rsidRDefault="00FD340D" w:rsidP="00F0099B">
            <w:pPr>
              <w:pStyle w:val="Styltabeli2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0099B">
              <w:rPr>
                <w:rFonts w:ascii="Verdana" w:hAnsi="Verdana"/>
                <w:sz w:val="24"/>
                <w:szCs w:val="24"/>
              </w:rPr>
              <w:t>0%</w:t>
            </w:r>
          </w:p>
        </w:tc>
      </w:tr>
    </w:tbl>
    <w:p w14:paraId="0F792504" w14:textId="49DFEF0D" w:rsidR="00E42918" w:rsidRPr="00842A8C" w:rsidRDefault="00842A8C" w:rsidP="00842A8C">
      <w:pPr>
        <w:pStyle w:val="Tre"/>
        <w:spacing w:before="240" w:line="360" w:lineRule="auto"/>
        <w:rPr>
          <w:rFonts w:ascii="Verdana" w:hAnsi="Verdana"/>
          <w:sz w:val="24"/>
          <w:szCs w:val="24"/>
        </w:rPr>
      </w:pPr>
      <w:r w:rsidRPr="00842A8C">
        <w:rPr>
          <w:rFonts w:ascii="Verdana" w:hAnsi="Verdana"/>
          <w:sz w:val="24"/>
          <w:szCs w:val="24"/>
        </w:rPr>
        <w:t xml:space="preserve">Więcej informacji o projekcie dostępnych jest na stronie: </w:t>
      </w:r>
      <w:hyperlink r:id="rId10" w:history="1">
        <w:r w:rsidRPr="00842A8C">
          <w:rPr>
            <w:rStyle w:val="Hipercze"/>
            <w:rFonts w:ascii="Verdana" w:hAnsi="Verdana"/>
            <w:sz w:val="24"/>
            <w:szCs w:val="24"/>
          </w:rPr>
          <w:t>www.</w:t>
        </w:r>
        <w:r w:rsidRPr="00842A8C">
          <w:rPr>
            <w:rStyle w:val="Hipercze"/>
            <w:rFonts w:ascii="Verdana" w:hAnsi="Verdana"/>
            <w:sz w:val="24"/>
            <w:szCs w:val="24"/>
          </w:rPr>
          <w:t>kultura.uj.edu.pl/nauka/badania/dostepnosc</w:t>
        </w:r>
      </w:hyperlink>
    </w:p>
    <w:p w14:paraId="6875B8B2" w14:textId="538F0D10" w:rsidR="00842A8C" w:rsidRPr="00842A8C" w:rsidRDefault="00842A8C" w:rsidP="00842A8C">
      <w:pPr>
        <w:pStyle w:val="Tre"/>
        <w:spacing w:before="240" w:line="360" w:lineRule="auto"/>
        <w:rPr>
          <w:rFonts w:ascii="Verdana" w:hAnsi="Verdana"/>
          <w:sz w:val="24"/>
          <w:szCs w:val="24"/>
        </w:rPr>
      </w:pPr>
      <w:r w:rsidRPr="00842A8C">
        <w:rPr>
          <w:rFonts w:ascii="Verdana" w:hAnsi="Verdana"/>
          <w:sz w:val="24"/>
          <w:szCs w:val="24"/>
        </w:rPr>
        <w:t>Badanie zostało sfinansowane ze środków Priorytetowego Obszaru Badawczego Heritage w ramach programu „Inicjatywa Doskonałości – Uczelnia Badawcza” w</w:t>
      </w:r>
      <w:r w:rsidRPr="00842A8C">
        <w:rPr>
          <w:rFonts w:ascii="Verdana" w:hAnsi="Verdana"/>
          <w:sz w:val="24"/>
          <w:szCs w:val="24"/>
        </w:rPr>
        <w:t> </w:t>
      </w:r>
      <w:r w:rsidRPr="00842A8C">
        <w:rPr>
          <w:rFonts w:ascii="Verdana" w:hAnsi="Verdana"/>
          <w:sz w:val="24"/>
          <w:szCs w:val="24"/>
        </w:rPr>
        <w:t>Uniwersytecie Jagiellońskim.</w:t>
      </w:r>
    </w:p>
    <w:sectPr w:rsidR="00842A8C" w:rsidRPr="00842A8C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B9D8" w14:textId="77777777" w:rsidR="00EF3459" w:rsidRDefault="00EF3459">
      <w:r>
        <w:separator/>
      </w:r>
    </w:p>
  </w:endnote>
  <w:endnote w:type="continuationSeparator" w:id="0">
    <w:p w14:paraId="7733A3E2" w14:textId="77777777" w:rsidR="00EF3459" w:rsidRDefault="00EF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D3B1" w14:textId="77777777" w:rsidR="00EF3459" w:rsidRDefault="00EF3459">
      <w:r>
        <w:separator/>
      </w:r>
    </w:p>
  </w:footnote>
  <w:footnote w:type="continuationSeparator" w:id="0">
    <w:p w14:paraId="5D2BD69C" w14:textId="77777777" w:rsidR="00EF3459" w:rsidRDefault="00EF3459">
      <w:r>
        <w:continuationSeparator/>
      </w:r>
    </w:p>
  </w:footnote>
  <w:footnote w:type="continuationNotice" w:id="1">
    <w:p w14:paraId="099E851D" w14:textId="77777777" w:rsidR="00EF3459" w:rsidRDefault="00EF34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6C2"/>
    <w:multiLevelType w:val="hybridMultilevel"/>
    <w:tmpl w:val="5010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EFE"/>
    <w:multiLevelType w:val="hybridMultilevel"/>
    <w:tmpl w:val="908E3CC2"/>
    <w:numStyleLink w:val="Punktor"/>
  </w:abstractNum>
  <w:abstractNum w:abstractNumId="2" w15:restartNumberingAfterBreak="0">
    <w:nsid w:val="1D242CA0"/>
    <w:multiLevelType w:val="hybridMultilevel"/>
    <w:tmpl w:val="79D2F212"/>
    <w:styleLink w:val="Numery"/>
    <w:lvl w:ilvl="0" w:tplc="56ECEF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E2072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5E50">
      <w:start w:val="1"/>
      <w:numFmt w:val="decimal"/>
      <w:lvlText w:val="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F05D9C">
      <w:start w:val="1"/>
      <w:numFmt w:val="decimal"/>
      <w:lvlText w:val="%4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CB580">
      <w:start w:val="1"/>
      <w:numFmt w:val="decimal"/>
      <w:lvlText w:val="%5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01B2C">
      <w:start w:val="1"/>
      <w:numFmt w:val="decimal"/>
      <w:lvlText w:val="%6."/>
      <w:lvlJc w:val="left"/>
      <w:pPr>
        <w:ind w:left="25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4C386">
      <w:start w:val="1"/>
      <w:numFmt w:val="decimal"/>
      <w:lvlText w:val="%7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AFE6A">
      <w:start w:val="1"/>
      <w:numFmt w:val="decimal"/>
      <w:lvlText w:val="%8."/>
      <w:lvlJc w:val="left"/>
      <w:pPr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88758">
      <w:start w:val="1"/>
      <w:numFmt w:val="decimal"/>
      <w:lvlText w:val="%9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D64355"/>
    <w:multiLevelType w:val="hybridMultilevel"/>
    <w:tmpl w:val="908E3CC2"/>
    <w:styleLink w:val="Punktor"/>
    <w:lvl w:ilvl="0" w:tplc="2830382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A2D06">
      <w:start w:val="1"/>
      <w:numFmt w:val="bullet"/>
      <w:lvlText w:val="•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0A77D8">
      <w:start w:val="1"/>
      <w:numFmt w:val="bullet"/>
      <w:lvlText w:val="•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E865622">
      <w:start w:val="1"/>
      <w:numFmt w:val="bullet"/>
      <w:lvlText w:val="•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96CAE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AD4A3A2">
      <w:start w:val="1"/>
      <w:numFmt w:val="bullet"/>
      <w:lvlText w:val="•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794E554">
      <w:start w:val="1"/>
      <w:numFmt w:val="bullet"/>
      <w:lvlText w:val="•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26A0960">
      <w:start w:val="1"/>
      <w:numFmt w:val="bullet"/>
      <w:lvlText w:val="•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6CF34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4D2F499F"/>
    <w:multiLevelType w:val="hybridMultilevel"/>
    <w:tmpl w:val="79D2F212"/>
    <w:numStyleLink w:val="Numery"/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18"/>
    <w:rsid w:val="000F72D3"/>
    <w:rsid w:val="00343AC8"/>
    <w:rsid w:val="0038601E"/>
    <w:rsid w:val="004336EA"/>
    <w:rsid w:val="006C1FF9"/>
    <w:rsid w:val="00842A8C"/>
    <w:rsid w:val="00A56BA3"/>
    <w:rsid w:val="00C8783B"/>
    <w:rsid w:val="00CB2892"/>
    <w:rsid w:val="00DD77C5"/>
    <w:rsid w:val="00E42918"/>
    <w:rsid w:val="00EF3459"/>
    <w:rsid w:val="00F0099B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E70"/>
  <w15:docId w15:val="{A29CF290-E1BF-455A-ABBB-B7DD1D90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3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C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C8"/>
    <w:rPr>
      <w:b/>
      <w:bCs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099B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009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099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9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009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0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9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0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99B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pudel\AppData\Local\Temp\www.kultura.uj.edu.pl\nauka\badania\dostepnos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84A19E6DB6C43BE65FA587D09B48D" ma:contentTypeVersion="10" ma:contentTypeDescription="Utwórz nowy dokument." ma:contentTypeScope="" ma:versionID="5b7e0eb76c75e3a639f43665d71f679e">
  <xsd:schema xmlns:xsd="http://www.w3.org/2001/XMLSchema" xmlns:xs="http://www.w3.org/2001/XMLSchema" xmlns:p="http://schemas.microsoft.com/office/2006/metadata/properties" xmlns:ns2="77823e25-a8e5-4bab-a2cd-9169a4e6cf25" targetNamespace="http://schemas.microsoft.com/office/2006/metadata/properties" ma:root="true" ma:fieldsID="50b7fb767e834d9c09d52eb9e4702973" ns2:_="">
    <xsd:import namespace="77823e25-a8e5-4bab-a2cd-9169a4e6c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3e25-a8e5-4bab-a2cd-9169a4e6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56901-A4DA-4DBE-93BC-4A78F3C2B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D21B7-2665-4AEE-8C1F-F089840D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23e25-a8e5-4bab-a2cd-9169a4e6c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54A0D-9A2B-4E05-87DC-B2AA44DAA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WM</dc:creator>
  <cp:lastModifiedBy>Agnieszka Konior</cp:lastModifiedBy>
  <cp:revision>2</cp:revision>
  <dcterms:created xsi:type="dcterms:W3CDTF">2021-05-18T14:17:00Z</dcterms:created>
  <dcterms:modified xsi:type="dcterms:W3CDTF">2021-05-18T14:17:00Z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0x010100A6084A19E6DB6C43BE65FA587D09B48D</vt:lpwstr>
  </property>
</Properties>
</file>